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D11F46" w:rsidRPr="00D11F46" w:rsidRDefault="00D11F46" w:rsidP="00D11F46">
      <w:pPr>
        <w:pStyle w:val="NoSpacing1"/>
        <w:rPr>
          <w:rFonts w:ascii="Arial" w:hAnsi="Arial"/>
          <w:b/>
          <w:sz w:val="24"/>
          <w:szCs w:val="20"/>
          <w:lang w:val="it-IT"/>
        </w:rPr>
      </w:pP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핵심적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응용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분야에서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장기간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지원을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제공할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Renishaw HS20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D11F46">
        <w:rPr>
          <w:rFonts w:ascii="Gulim" w:eastAsia="Gulim" w:hAnsi="Gulim" w:cs="Gulim" w:hint="eastAsia"/>
          <w:b/>
          <w:sz w:val="24"/>
          <w:szCs w:val="20"/>
          <w:lang w:val="it-IT"/>
        </w:rPr>
        <w:t>엔코더</w:t>
      </w:r>
      <w:proofErr w:type="spellEnd"/>
    </w:p>
    <w:p w:rsidR="00D11F46" w:rsidRPr="00D11F46" w:rsidRDefault="00D11F46" w:rsidP="00D11F46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r w:rsidRPr="00D11F46">
        <w:rPr>
          <w:rFonts w:ascii="Arial" w:hAnsi="Arial"/>
          <w:sz w:val="20"/>
          <w:szCs w:val="20"/>
          <w:lang w:val="it-IT"/>
        </w:rPr>
        <w:t>EMO 2013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60 m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거리의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항공우주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산업용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대형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공작기계에서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다양하게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응용되고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Renishaw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제품인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HS10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장거리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엔코더의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신규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모델이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출시될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예정입니다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r w:rsidRPr="00D11F46">
        <w:rPr>
          <w:rFonts w:ascii="Arial" w:hAnsi="Arial"/>
          <w:sz w:val="20"/>
          <w:szCs w:val="20"/>
          <w:lang w:val="it-IT"/>
        </w:rPr>
        <w:t>1990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년대에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판매된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HS10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서비스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수명에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다다르고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시점에서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Renishaw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HS20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소개하여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시장의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요구를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충족시키고자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하는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열의를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나타냈습니다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 HS20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은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HS10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제품을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없이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그대로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대체하므로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사용자가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설치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문제에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큰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어려움을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겪지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않을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내부적으로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,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제품은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Renishaw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최신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XL-80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캘리브레이션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입증된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부품을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완전히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개조되었습니다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D11F46">
        <w:rPr>
          <w:rFonts w:ascii="Arial" w:hAnsi="Arial"/>
          <w:sz w:val="20"/>
          <w:szCs w:val="20"/>
          <w:lang w:val="it-IT"/>
        </w:rPr>
        <w:t xml:space="preserve"> PCB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최신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표면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실장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기술을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(Renishaw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사내에서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생산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견고성과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신뢰성을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증대했습니다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r w:rsidRPr="00D11F46">
        <w:rPr>
          <w:rFonts w:ascii="Arial" w:hAnsi="Arial"/>
          <w:sz w:val="20"/>
          <w:szCs w:val="20"/>
          <w:lang w:val="it-IT"/>
        </w:rPr>
        <w:t>HS20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은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세팅을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외부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구성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스위치와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함께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24V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전용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전원을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Renishaw RCU10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실시간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직각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위상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보정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사이의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거리가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먼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경우에도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멀티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코어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케이블로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인한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전력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강하를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방지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합니다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. RCU10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장치를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사용하면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환경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조건에서도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정확도를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유지할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D11F46">
        <w:rPr>
          <w:rFonts w:ascii="Arial" w:eastAsia="Gulim" w:hAnsi="Arial" w:cs="Gulim" w:hint="eastAsia"/>
          <w:b/>
          <w:sz w:val="20"/>
          <w:szCs w:val="20"/>
          <w:lang w:val="it-IT"/>
        </w:rPr>
        <w:t>배경</w:t>
      </w:r>
      <w:proofErr w:type="spellEnd"/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후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부품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검사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전에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확인하여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불량률과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가동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중단률을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크게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줄여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비용을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절감할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생산하는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부품의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크기와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비용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(</w:t>
      </w:r>
      <w:proofErr w:type="spellStart"/>
      <w:proofErr w:type="gramEnd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기본적인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재료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비용과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함께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엄격한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품질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보증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절차에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포함된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비용까지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포함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)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비용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(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고가의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장시간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)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감안하면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우주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항공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해양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산업에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일반적으로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사용되는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대규모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기계에서는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부분이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더욱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중요합니다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동시에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기존의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스케일은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정확하게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배치하기가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어렵고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열팽창의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영향을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받기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쉬우며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장거리에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걸쳐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비용을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상승시킬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그러나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엔코더는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일반적으로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캘리브레이션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특징인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정밀도를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실현시킵니다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측정은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열팽창과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상관이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없으며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사용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중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반복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정도와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신뢰성을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설치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셋업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정렬이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직관적입니다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우주항공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분야를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대형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도입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(</w:t>
      </w:r>
      <w:proofErr w:type="spellStart"/>
      <w:proofErr w:type="gramEnd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복합재료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패널용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고압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워터젯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커터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포함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)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은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엔코더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요구하는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지속적인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시장이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존재하고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Renishaw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D11F46">
        <w:rPr>
          <w:rFonts w:ascii="Arial" w:hAnsi="Arial"/>
          <w:sz w:val="20"/>
          <w:szCs w:val="20"/>
          <w:lang w:val="it-IT"/>
        </w:rPr>
        <w:t xml:space="preserve"> HS20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엔코더로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시장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요구를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충족시켜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시장의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특수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부문에서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지속적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지원을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제공할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있음을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의미합니다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</w:p>
    <w:p w:rsidR="00D11F46" w:rsidRPr="00D11F46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D11F46" w:rsidP="00D11F46">
      <w:pPr>
        <w:pStyle w:val="NoSpacing1"/>
        <w:rPr>
          <w:rFonts w:ascii="Arial" w:hAnsi="Arial"/>
          <w:sz w:val="20"/>
          <w:szCs w:val="20"/>
          <w:lang w:val="it-IT"/>
        </w:rPr>
      </w:pPr>
      <w:r w:rsidRPr="00D11F46">
        <w:rPr>
          <w:rFonts w:ascii="Arial" w:hAnsi="Arial"/>
          <w:sz w:val="20"/>
          <w:szCs w:val="20"/>
          <w:lang w:val="it-IT"/>
        </w:rPr>
        <w:t xml:space="preserve">Renishaw HS20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장거리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엔코더에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관한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자세한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내용은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www.renishaw.com/HS20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에서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확인할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D11F4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D11F46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D11F46">
        <w:rPr>
          <w:rFonts w:ascii="Arial" w:hAnsi="Arial"/>
          <w:sz w:val="20"/>
          <w:szCs w:val="20"/>
          <w:lang w:val="it-IT"/>
        </w:rPr>
        <w:t>.</w:t>
      </w:r>
    </w:p>
    <w:p w:rsid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296F0B"/>
    <w:rsid w:val="00336993"/>
    <w:rsid w:val="003E683B"/>
    <w:rsid w:val="00417A4A"/>
    <w:rsid w:val="005A14F0"/>
    <w:rsid w:val="005E14E0"/>
    <w:rsid w:val="00761488"/>
    <w:rsid w:val="007834F1"/>
    <w:rsid w:val="007A1BB8"/>
    <w:rsid w:val="008A33E5"/>
    <w:rsid w:val="00921E45"/>
    <w:rsid w:val="009C4528"/>
    <w:rsid w:val="00AC3B46"/>
    <w:rsid w:val="00BD1917"/>
    <w:rsid w:val="00C527C5"/>
    <w:rsid w:val="00CA51AC"/>
    <w:rsid w:val="00D11F46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E868-80EE-4EBF-B555-4C4484E2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2013-08-20T12:26:00Z</dcterms:created>
  <dcterms:modified xsi:type="dcterms:W3CDTF">2013-08-20T12:26:00Z</dcterms:modified>
</cp:coreProperties>
</file>