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7A1BB8" w:rsidRPr="007A1BB8" w:rsidRDefault="007A1BB8" w:rsidP="007A1BB8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7A1BB8">
        <w:rPr>
          <w:rFonts w:ascii="Arial" w:hAnsi="Arial"/>
          <w:b/>
          <w:sz w:val="24"/>
          <w:szCs w:val="20"/>
          <w:lang w:val="it-IT"/>
        </w:rPr>
        <w:t xml:space="preserve">CNC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공작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기계에서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다수의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공구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세팅과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검사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지원하는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b/>
          <w:sz w:val="24"/>
          <w:szCs w:val="20"/>
          <w:lang w:val="it-IT"/>
        </w:rPr>
        <w:t>시스템</w:t>
      </w:r>
      <w:proofErr w:type="spellEnd"/>
    </w:p>
    <w:p w:rsidR="007A1BB8" w:rsidRPr="007A1BB8" w:rsidRDefault="007A1BB8" w:rsidP="007A1BB8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r w:rsidRPr="007A1BB8">
        <w:rPr>
          <w:rFonts w:ascii="Arial" w:hAnsi="Arial"/>
          <w:sz w:val="20"/>
          <w:szCs w:val="20"/>
          <w:lang w:val="it-IT"/>
        </w:rPr>
        <w:t>Renishaw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동일한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여러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개의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설치할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인터페이스와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대형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적합한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신호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전송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소형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포함한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주요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신제품이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전송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시스템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계열에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추가되었음을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발표했습니다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RMI-Q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전송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인터페이스는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4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개까지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별도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검사용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허용하며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전송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스핀들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동일한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공작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작동할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있도록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지원하기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CNC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머시닝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센터나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테이블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트윈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팔레트가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대한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최고의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선택이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될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것입니다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 RMI-Q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머시닝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센터와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CNC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밀링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쉽게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설치됨으로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사용자는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자동화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파손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감지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부품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셋업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부품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검증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기능등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시스템의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이점을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누릴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사용자마다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특정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분야의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요건에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따라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일반적으로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Renishaw RMP60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검사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포함한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Renishaw RTS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RMP40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RMP600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송수신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호환형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스핀들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장착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프로빙을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많이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구성할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RMI-Q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스핀들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장착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테이블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장착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활성화하는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데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이용되며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활성화된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장치를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시각적으로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표시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해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줍니다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RTS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세팅기와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마찬가지로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제품도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주파수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규정을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준수하도록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설계되고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현장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테스트를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마친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2.4GHz </w:t>
      </w:r>
      <w:proofErr w:type="gramStart"/>
      <w:r w:rsidRPr="007A1BB8">
        <w:rPr>
          <w:rFonts w:ascii="Arial" w:hAnsi="Arial"/>
          <w:sz w:val="20"/>
          <w:szCs w:val="20"/>
          <w:lang w:val="it-IT"/>
        </w:rPr>
        <w:t>FHSS(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frequency hopping spread spectrum,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주파수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도약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분산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스펙트럼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)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송수신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갖추어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점차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번잡해지고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환경에서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중단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없는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작동을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보장합니다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시스템은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수신기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사이의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가시선이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확보되지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않는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응용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환경에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적합하며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송수신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거리가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15m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로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넉넉하기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때문에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대형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사용하기에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특히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적합합니다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 RMI-Q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Renishaw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입증된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RMI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인터페이스의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외에도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간단한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매크로를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단일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작업으로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필요한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인터페이스와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연결시킬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추가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기능이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포함되어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중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크기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변화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/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홀더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런아웃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및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파손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등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다양한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변수가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치수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정확도에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영향을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미칩니다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 Renishaw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의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RTS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세팅기는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가공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공정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중의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변화를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보상하고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마모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등의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실제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영향이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고려되도록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컨트롤러에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자동으로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업데이트하며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파손된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감지될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경우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공정을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자동으로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중단시킬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그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결과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재작업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재생산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불량률이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감소하여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매우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유용합니다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RTS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접촉식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튼튼하고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작은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방식의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설계로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테이블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이동이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자유롭습니다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신호는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송수신을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이용하여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전달되므로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가시선이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문제가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되는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모든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크기의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하드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와이어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공구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세팅기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설치에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까다로운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것으로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알려진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트윈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팰릿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또는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로터리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테이블이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있는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기계에서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사용하기에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이상적입니다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7A1BB8" w:rsidRP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표준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AA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배터리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2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개로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구동되고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배터리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수명이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길게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연장된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RTS</w:t>
      </w:r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는</w:t>
      </w:r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새로운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RMI-Q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제품을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통해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최대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3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개의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다른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무선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프로브와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함께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사용이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7A1BB8">
        <w:rPr>
          <w:rFonts w:ascii="Arial" w:eastAsia="Gulim" w:hAnsi="Arial" w:cs="Gulim" w:hint="eastAsia"/>
          <w:sz w:val="20"/>
          <w:szCs w:val="20"/>
          <w:lang w:val="it-IT"/>
        </w:rPr>
        <w:t>가능합니다</w:t>
      </w:r>
      <w:proofErr w:type="spellEnd"/>
      <w:r w:rsidRPr="007A1BB8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7A1BB8" w:rsidRDefault="007A1BB8" w:rsidP="007A1BB8">
      <w:pPr>
        <w:pStyle w:val="NoSpacing1"/>
        <w:rPr>
          <w:rFonts w:ascii="Arial" w:hAnsi="Arial"/>
          <w:sz w:val="20"/>
          <w:szCs w:val="20"/>
          <w:lang w:val="it-IT"/>
        </w:rPr>
      </w:pP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BD1917"/>
    <w:rsid w:val="00C527C5"/>
    <w:rsid w:val="00CA51AC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0609-71B2-4E2A-BE73-7DC73B3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2013-08-20T12:22:00Z</dcterms:created>
  <dcterms:modified xsi:type="dcterms:W3CDTF">2013-08-20T12:22:00Z</dcterms:modified>
</cp:coreProperties>
</file>